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D7CD" w14:textId="17CD6AB3" w:rsidR="00EE22BF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ثبت شرکت ها</w:t>
      </w:r>
    </w:p>
    <w:p w14:paraId="3E8306DB" w14:textId="46A2949D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سپهر مولد</w:t>
      </w:r>
    </w:p>
    <w:p w14:paraId="662C1403" w14:textId="78D9FCB5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1- اعمال تغییرات در سهامداران از طریق ثبت شرکتها</w:t>
      </w:r>
    </w:p>
    <w:p w14:paraId="5DC0A6EF" w14:textId="23F81B1E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2- تعیین اعضای هیات مدیره و ثبت آن در ثبت شرکتها</w:t>
      </w:r>
    </w:p>
    <w:p w14:paraId="00350726" w14:textId="7DABB708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3- تعیین صاحبان مجاز امضاء در هیات مدیره</w:t>
      </w:r>
    </w:p>
    <w:p w14:paraId="3F99AA83" w14:textId="7F9E19DC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4- نماینده رباط (آدیش) امضای مشترک تمام صاحبان امضاء شود.</w:t>
      </w:r>
    </w:p>
    <w:p w14:paraId="6F52FC6A" w14:textId="3348E3B1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5- اختیار طرح دعاوی و پیگیری ها به مدیرعامل یا عضو دیگر و ترجیحاً مدیر حقوقی (بدون صلح و سازش)</w:t>
      </w:r>
    </w:p>
    <w:p w14:paraId="0E53D439" w14:textId="7D16C383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6- تلفن و سیم کارت بنام شرکت و ثبت آن در سامانه ثنا و تحویل آن به واحد حقوقی</w:t>
      </w:r>
    </w:p>
    <w:p w14:paraId="6D577B43" w14:textId="698B8ECE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7- بررسی جایگاه هیات عامل از نظر قانونی و مطابقت آن با هیات مدیره شرکت </w:t>
      </w:r>
    </w:p>
    <w:p w14:paraId="29F26D8C" w14:textId="434CE3BC" w:rsidR="00072867" w:rsidRDefault="00072867">
      <w:pPr>
        <w:rPr>
          <w:rtl/>
          <w:lang w:bidi="fa-IR"/>
        </w:rPr>
      </w:pPr>
      <w:r>
        <w:rPr>
          <w:rFonts w:hint="cs"/>
          <w:rtl/>
          <w:lang w:bidi="fa-IR"/>
        </w:rPr>
        <w:t>8- بررسی اساسنامه شرکت و رفع نواقص و تکمیل آن</w:t>
      </w:r>
    </w:p>
    <w:p w14:paraId="77C98500" w14:textId="74706050" w:rsidR="00072867" w:rsidRDefault="00072867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9- بررسی سوابق تصمیمات مجمع یا مجامع و اعتبار قانونی آنها</w:t>
      </w:r>
    </w:p>
    <w:sectPr w:rsidR="0007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67"/>
    <w:rsid w:val="00072867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EB18"/>
  <w15:chartTrackingRefBased/>
  <w15:docId w15:val="{DF583AAA-46EB-4AC9-85D3-FD2434A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2025-09-08T06:01:00Z</dcterms:created>
  <dcterms:modified xsi:type="dcterms:W3CDTF">2025-09-08T06:05:00Z</dcterms:modified>
</cp:coreProperties>
</file>